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444D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641" w:rsidRP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66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Структурно-содержательное наполнение внутренних угроз энергетической безопасности Российской Федерации-2030 и их характеристика по группам</w:t>
      </w:r>
      <w:r w:rsidRPr="009266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B444DB">
        <w:rPr>
          <w:rFonts w:ascii="Times New Roman" w:hAnsi="Times New Roman" w:cs="Times New Roman"/>
          <w:sz w:val="18"/>
          <w:szCs w:val="18"/>
        </w:rPr>
        <w:t>реферата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543666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926641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157F4" w:rsidRDefault="001157F4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энергетики и энергетических отношений имеет сложный характер, поскольку энергия как ресурс, в том числе и природный, уже давно является не только средством для поддержания жизни государства и общества, а также протекающих процессов, но и также элементом для манипуляции на международной арене.</w:t>
      </w:r>
    </w:p>
    <w:p w:rsidR="00926641" w:rsidRDefault="00926641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Многовековая практика показала,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государства с ра</w:t>
      </w:r>
      <w:r w:rsidR="001157F4">
        <w:rPr>
          <w:rFonts w:ascii="Times New Roman" w:hAnsi="Times New Roman" w:cs="Times New Roman"/>
          <w:sz w:val="28"/>
          <w:szCs w:val="28"/>
        </w:rPr>
        <w:t>звитыми энергетическими ресурсами и энергетической отраслью оказывают наибольшее геополитическое влияние на международной арене, а потому энергетический ресурс и связанные с ним отношения выступает инструментом для манипуляций одними государствами в отношении других для культурного, социального, экономического и иного влияния.</w:t>
      </w:r>
    </w:p>
    <w:p w:rsidR="001157F4" w:rsidRDefault="001157F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понятие энергетической безопасности имеет комплексный характер и включает в себя политическую, экономическую и техногенную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общем же понимании, данная категория раскрывается через понятие бесперебойного доступа участников рынка к ресурсам в сфере энергетики по доступной цене, а также невозможности манипуляции одними участниками рынка (в том числе на международном уровне) для извлечения политической, экономической и иной выгоды.</w:t>
      </w:r>
    </w:p>
    <w:p w:rsidR="001157F4" w:rsidRDefault="001157F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обеспечение безопасности в данной области является как никогда актуальным направлением многих стран мира, в том числе и Российской Федерации, поскольку раннее нерациональное использование энергетических ресурсов, в частности углеводородных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привело к негативным последствиям, которые выражаются в ухудшении экологии на отдельно взятых территория России, и, как следствие, ухудшения общего уровня здоровья населения и качества жизни.</w:t>
      </w:r>
    </w:p>
    <w:p w:rsidR="00C01AE9" w:rsidRPr="000104B4" w:rsidRDefault="00C01AE9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Мировым сообществом уже давно обозначается необходимость постепенно отказа от традиционных энергетических ресурсов по типу угля, газа и нефти в пользу альтернативных и восстанавливаемых-вода, ветер, </w:t>
      </w:r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солнечная энергия и др., однако такие источники хоть и являются эффективными, всё же, не могут удовлетворить потребности в энергетическом потреблении населения и производств России. Об этой проблеме отмечалось, в частности, в Парижском соглашении 2015 </w:t>
      </w:r>
      <w:proofErr w:type="gramStart"/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proofErr w:type="gramEnd"/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было отмечено, что уровень выбросов углеродных газов в России 52% от уровня таких выбросов в 1990 году и по данному соглашению показатели к 2030 году показатели выбросов должны достичь не более 70% от базового года.</w:t>
      </w:r>
      <w:r w:rsidRPr="000104B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C01AE9" w:rsidRPr="000104B4" w:rsidRDefault="00C01AE9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t>В основном исследователи отмечают, что данное Соглашение может стать инструментом для политического влияния на экономику России, а потому Правительством Российской Федерации было принято решение о его принятии, избежав ратификации.</w:t>
      </w:r>
    </w:p>
    <w:p w:rsidR="000104B4" w:rsidRP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поэтому энергетическая безопасность является одной из составляющей его системы национальной безопасности Российской Федерации, а потому принимаемые решения по поводу энергетической отрасли должны носить оправданный характер, поскольку данная область экономики является главенствующей и на ней основывается вся экономика государства в целом.</w:t>
      </w: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Проблема энергетической безопасности и формируемой политики по данным вопросам заключается в преимущественном акцентировании внимания на внешние угрозы национальной безопасности сферы энергетики, в то время как внутренним угрозам, имеющим не менее </w:t>
      </w:r>
      <w:proofErr w:type="gramStart"/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важное значение</w:t>
      </w:r>
      <w:proofErr w:type="gramEnd"/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оказывается меньшая доля внимания, что подтверждается и сравнительно малым количество научных исследований по данной теме.</w:t>
      </w: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04B4" w:rsidRP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6641" w:rsidRPr="000104B4" w:rsidRDefault="000104B4" w:rsidP="000104B4">
      <w:pPr>
        <w:spacing w:after="0" w:line="211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1. </w:t>
      </w:r>
      <w:r w:rsidRPr="000104B4">
        <w:rPr>
          <w:rFonts w:ascii="Times New Roman" w:hAnsi="Times New Roman" w:cs="Times New Roman"/>
          <w:b/>
          <w:sz w:val="28"/>
          <w:szCs w:val="28"/>
        </w:rPr>
        <w:t>Сущность энергетической безопасности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04B4" w:rsidRDefault="000104B4" w:rsidP="000104B4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4B4" w:rsidRPr="009B1871" w:rsidRDefault="000104B4" w:rsidP="00BC4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Доктриной об энергетической безопасности, утверждённой президентом Российской Федерации 13 мая 2019 года под энергетической безопасностью понимается такое состояние национальной защищённости России в сфере энергетики</w:t>
      </w:r>
      <w:r w:rsidR="00BC440E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, в частности экономики и населения страны, при котором обеспечиваются в полной мере частные и публичные интересы потребителей энергоснабжения, а также реализуются обязательства в данной области отношений по выполнению внутренних и международных контрактных обязательств Российской Федерации.</w:t>
      </w:r>
      <w:r w:rsidR="00BC440E" w:rsidRPr="009B1871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proofErr w:type="gramEnd"/>
    </w:p>
    <w:p w:rsidR="00BC440E" w:rsidRPr="009B1871" w:rsidRDefault="00BC440E" w:rsidP="00BC4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 под угрозой энергетической безопасности понимается такая совокупность условий и факторов внешнего, а также внутреннего характера, которые создают потенциальную возможность наступления неблагоприятных последствий, в том числе ущерба области энергетики Российской Федерации.</w:t>
      </w:r>
    </w:p>
    <w:p w:rsidR="00BC440E" w:rsidRPr="009B1871" w:rsidRDefault="00BC440E" w:rsidP="00581D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Не стоит при этом путать категорию угрозы с вызовом или риском, поскольку под вызовом в узком смысле понимается новые стимулы для развития энергетики, а риск-возможность перехода вызова в угрозу.</w:t>
      </w:r>
    </w:p>
    <w:p w:rsidR="005A4784" w:rsidRPr="009B1871" w:rsidRDefault="00BC440E" w:rsidP="00581D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анализируемой доктриной</w:t>
      </w:r>
      <w:r w:rsidR="005A4784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, внутренними угрозами энергетической безопасности России на современном этапе и вплоть до 2030 года являются следующие условия и факторы:</w:t>
      </w:r>
    </w:p>
    <w:p w:rsidR="005A4784" w:rsidRPr="009B1871" w:rsidRDefault="005A4784" w:rsidP="00581D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Энергетический дефицит, а в некоторых случаях избыток мощностей в сфере энергетики, в </w:t>
      </w:r>
      <w:proofErr w:type="gram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топливно-энергетический комплекс не отвечает требованиям и запросам социально-экономического развития институтов и структур России;</w:t>
      </w:r>
    </w:p>
    <w:p w:rsidR="005A4784" w:rsidRPr="009B1871" w:rsidRDefault="005A4784" w:rsidP="00581D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Кадровый голод в сфере энергетики, в том числе недостаточная </w:t>
      </w:r>
      <w:proofErr w:type="spell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заполненность</w:t>
      </w:r>
      <w:proofErr w:type="spellEnd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высококвалифицированными кадрами организаций, осуществляющих деятельность в сфере энергетики;</w:t>
      </w:r>
    </w:p>
    <w:p w:rsidR="005A4784" w:rsidRPr="009B1871" w:rsidRDefault="005A4784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Снижение общего уровня качества энергетического сырья и ресурсов, вызванное в частности нерациональным и неэффективным их изъятием и переработкой, и, как следствие, выразившееся в быстром истощении месторождений полезных ископаемых, а также снижения количественных и качественных показателей энергетического сырья в подобных открытых и закрытых месторождениях;</w:t>
      </w:r>
    </w:p>
    <w:p w:rsidR="00581D42" w:rsidRPr="009B1871" w:rsidRDefault="005A4784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Рост количества правонарушений в сфере энергетики, в том числе трудовых отношений в части организации охраны труда работников топливно-энергетического комплекса</w:t>
      </w:r>
      <w:r w:rsidR="00581D42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организации места работы;</w:t>
      </w:r>
    </w:p>
    <w:p w:rsidR="00581D42" w:rsidRPr="009B1871" w:rsidRDefault="00581D42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Рост количества уголовных преступлений и административных правонарушений в области энергетики, выражающийся в совершении правонарушений по хищению ресурсов и имущества, производства контрафактной продукции, избежание от налоговых платежей и иных сборов, а также коррупции на различных уровнях.</w:t>
      </w:r>
    </w:p>
    <w:p w:rsidR="008C3F5A" w:rsidRPr="009B1871" w:rsidRDefault="008C3F5A" w:rsidP="008C3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 по нашему мнению кроме внутренних и внешних угроз энергетической безопасности можно выделить и трансграничные угрозы, в содержание которых будут включаться как внутренние, так и </w:t>
      </w:r>
      <w:proofErr w:type="gram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внешний</w:t>
      </w:r>
      <w:proofErr w:type="gramEnd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условия возможного негативного влияния. К данной группе, в частности, можно отнести диверсионную деятельность, направленную на уничтожение или повреждение инфраструктуры энергетического комплекса, а также подобные действия в отношении путей поставки ресурсов, их транспортировки и места добычи.</w:t>
      </w:r>
    </w:p>
    <w:p w:rsidR="008C3F5A" w:rsidRPr="009B1871" w:rsidRDefault="008C3F5A" w:rsidP="009B1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трансграничные угрозы энергетической безопасности целесообразно отнести компьютерные атаки на объекты и организации в сфере энергетики для нарушения их функционирования. Использование информационных, электронных, компьютерных и цифровых технологий в сфере энергетики не является редкостью </w:t>
      </w:r>
      <w:proofErr w:type="gram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несмотря на достаточный уровень цифровой и технической безопасности, всё же такие угрозы имеют место быть.</w:t>
      </w:r>
    </w:p>
    <w:p w:rsidR="009B1871" w:rsidRPr="009B1871" w:rsidRDefault="008C3F5A" w:rsidP="009B1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Кроме того, не исключается возможность неблагоприятного воздействия природного характера в связи с опасными природными явлениями, которые могут оказать влияние на функционирование объектов топливно-энергетического комплекса, а также сказаться на энергетической безопасности Российской Федерации.</w:t>
      </w:r>
    </w:p>
    <w:p w:rsidR="009B1871" w:rsidRPr="00357C01" w:rsidRDefault="009B1871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 Российской Федерации</w:t>
      </w:r>
      <w:proofErr w:type="gramStart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18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9B18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 утверждении Энергетической стратегии Российской Федерации на период до 2035 года</w:t>
      </w:r>
      <w:r w:rsidRPr="009B18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7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устанавливается более обширные перечень внешних угроз для энергетики России: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Замедление темпов роста и изменение структуры потребления энергетических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цены на углеродные энергетические ресурсы;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едостаточный для инновационного развития текущий и перспективный объем спроса на внутреннем рынке на основные виды продукции российского топливно-энергетического комплекса, обостряющий зависимость от объема спроса и конъюнктуры мировых рынков традиционных энергетических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Критическая зависимость энергетического рынка России от технологий  и программного обеспечения иностранных государств;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Дефицит инвестиционных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Обременение на рынке энергопотребления и снижение общего уровня потребления энергетических ресурсов со стор</w:t>
      </w:r>
      <w:r w:rsidR="004C3D4D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оны потребителей на этом уровне.</w:t>
      </w:r>
      <w:r w:rsidRPr="00357C01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:rsidR="004C3D4D" w:rsidRDefault="004C3D4D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на основе анализа Доктрины  и Распоряжения Правительства, отражающих современную энергетическую политику по обеспечению энергетической безопасности в Российской Федерации можно прийти к выводу, что акцентируется внимание на фактическом разрыве </w:t>
      </w: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реальных потребностей рынка потребления </w:t>
      </w:r>
      <w:r w:rsidR="00357C01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производимыми энергоресурсами, что в некоторых случаях вызывает дефицит, а в некоторых случаях избыток того или иного ресурса, что в обоих случаях является негативным явлением для</w:t>
      </w:r>
      <w:proofErr w:type="gramEnd"/>
      <w:r w:rsidR="00357C01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государства. Кроме того отмечается низкий уровень технологического и цифрового развития организаций в сфере энергетики, а также их зависимость от технологий, техники, оборудования и программного обеспечения иностранных государств.</w:t>
      </w:r>
    </w:p>
    <w:p w:rsidR="00357C01" w:rsidRDefault="00357C01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C01" w:rsidRDefault="00357C01" w:rsidP="00357C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Научное сообщество о внутренних угрозах энергетической безопасности Российской Федерации</w:t>
      </w:r>
    </w:p>
    <w:p w:rsidR="00204D45" w:rsidRDefault="00204D45" w:rsidP="00357C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4D45" w:rsidRDefault="00204D45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 очевидно, что данному вопросу были посвящена труды учёных, исследователей в сфере экономики и политики,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помимо официальных положений, которые нашли отражение в упомянутых нормативно-правовых актах, были разработаны и иные группы угроз энергетической безопасности по отношению к России.</w:t>
      </w:r>
    </w:p>
    <w:p w:rsidR="00204D45" w:rsidRDefault="00204D45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Шпак А.С. и Николаева Л.В. в своем исследовании отмечают, что реальной угрозой внутреннего характера также является высокая энергоёмкость производства энергетических ресурсов,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отечественный производитель продукции в сравнении с импортными организациями топливно-энергетического комплекса является неконкурентоспособным. Особенно это проявляется на обрабатывающих и добывающих производствах,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более выгодно отправить сырьё, в частности нефть в иностранное государств для его переработки или </w:t>
      </w:r>
      <w:r w:rsidR="00A30E4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готового продукта (масел,</w:t>
      </w:r>
      <w:r w:rsidR="00A3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бензина, растворителей, электроизоляционных сред и иных нефтехимических продуктов), что также сказывается на конечной стоимости для потребителя импортной продукции, хоть и созданной на основе российского сырья.</w:t>
      </w:r>
    </w:p>
    <w:p w:rsidR="00A30E42" w:rsidRDefault="00A30E42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авторами в качестве актуальных угроз до 2030 года отмечается и низкая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вызванная износом оборудования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инфраструктуры энергетического комплекса, что и выражается в потери электроэнергии.</w:t>
      </w:r>
    </w:p>
    <w:p w:rsidR="00A30E42" w:rsidRDefault="00A30E42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Физический и моральный износ инфраструктуры также подтверждается исследователем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А.С.,  что по итогу выражается как в снижении качества энергии, так и к удорожанию продукции, которую получает итоговый потребитель. Отмечается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качстве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угрозы автором и высокий уровень небезопасной эксплуатации. Нельзя не согласиться с положениями, которые выносят упомянутые авторы и это подтверждается, в частности, недавним случаем обрушения шахты «Юбилейная» 14 февраля в Кузбассе и задымлением шахты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Листвяжная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Кемеровской области 25 ноября этого года. Мало того, что такие угрозы несут в себя реальные жертвы со стороны людей, а также финансово-материальный ущерб, это также сказывается на длительной консервации подобных ме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 впл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оть до устранения всех сопутствующих недостатков.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частности, 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шахт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«Юбилейная»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, обрушившаяся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февраля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восстановила полностью свою работу лишь через несколько месяцев.</w:t>
      </w:r>
      <w:r w:rsidR="00B2305C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B2305C" w:rsidRPr="00204D45" w:rsidRDefault="00B2305C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на 2021 год было зарегистрировано 13 ЧП и аварий только в шахтах, а в 2020 году такие показатели достигли 7 случаям, что говорит о неутешительной возрастающей статистике и реальной угрозы физического и морального износа оборудования, а также инфраструктуры основных энергетических комплексов. </w:t>
      </w:r>
    </w:p>
    <w:p w:rsidR="009B1871" w:rsidRPr="009B1871" w:rsidRDefault="009B1871" w:rsidP="009B1871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B1871" w:rsidRPr="008C3F5A" w:rsidRDefault="009B1871" w:rsidP="008C3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F5A" w:rsidRDefault="008C3F5A" w:rsidP="008C3F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3F5A" w:rsidRDefault="008C3F5A" w:rsidP="008C3F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1D42" w:rsidRDefault="00581D42" w:rsidP="00581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Pr="00581D42" w:rsidRDefault="00581D42" w:rsidP="00581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Написать про недавний случай в шахте</w:t>
      </w:r>
      <w:r w:rsidR="005A4784" w:rsidRPr="00581D42">
        <w:rPr>
          <w:rFonts w:ascii="Times New Roman" w:hAnsi="Times New Roman" w:cs="Times New Roman"/>
          <w:sz w:val="28"/>
          <w:szCs w:val="28"/>
        </w:rPr>
        <w:br/>
      </w: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784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2D" w:rsidRDefault="006E342D" w:rsidP="00C01AE9">
      <w:pPr>
        <w:spacing w:after="0" w:line="240" w:lineRule="auto"/>
      </w:pPr>
      <w:r>
        <w:separator/>
      </w:r>
    </w:p>
  </w:endnote>
  <w:endnote w:type="continuationSeparator" w:id="0">
    <w:p w:rsidR="006E342D" w:rsidRDefault="006E342D" w:rsidP="00C0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2D" w:rsidRDefault="006E342D" w:rsidP="00C01AE9">
      <w:pPr>
        <w:spacing w:after="0" w:line="240" w:lineRule="auto"/>
      </w:pPr>
      <w:r>
        <w:separator/>
      </w:r>
    </w:p>
  </w:footnote>
  <w:footnote w:type="continuationSeparator" w:id="0">
    <w:p w:rsidR="006E342D" w:rsidRDefault="006E342D" w:rsidP="00C01AE9">
      <w:pPr>
        <w:spacing w:after="0" w:line="240" w:lineRule="auto"/>
      </w:pPr>
      <w:r>
        <w:continuationSeparator/>
      </w:r>
    </w:p>
  </w:footnote>
  <w:footnote w:id="1">
    <w:p w:rsidR="00C01AE9" w:rsidRPr="00C01AE9" w:rsidRDefault="00C01AE9" w:rsidP="00C01AE9">
      <w:pPr>
        <w:pStyle w:val="a9"/>
        <w:jc w:val="both"/>
        <w:rPr>
          <w:rFonts w:ascii="Times New Roman" w:hAnsi="Times New Roman" w:cs="Times New Roman"/>
        </w:rPr>
      </w:pPr>
      <w:r w:rsidRPr="00C01AE9">
        <w:rPr>
          <w:rStyle w:val="ab"/>
          <w:rFonts w:ascii="Times New Roman" w:hAnsi="Times New Roman" w:cs="Times New Roman"/>
        </w:rPr>
        <w:footnoteRef/>
      </w:r>
      <w:r w:rsidRPr="00C01AE9">
        <w:rPr>
          <w:rFonts w:ascii="Times New Roman" w:hAnsi="Times New Roman" w:cs="Times New Roman"/>
        </w:rPr>
        <w:t xml:space="preserve"> Парижское соглашение (принято 22 апреля 2016 года в г. Нью-Йорке). Доступ </w:t>
      </w:r>
      <w:r w:rsidRPr="00C01AE9">
        <w:rPr>
          <w:rFonts w:ascii="Times New Roman" w:hAnsi="Times New Roman" w:cs="Times New Roman"/>
          <w:lang w:val="en-US"/>
        </w:rPr>
        <w:t>URL</w:t>
      </w:r>
      <w:r w:rsidRPr="00C01AE9">
        <w:rPr>
          <w:rFonts w:ascii="Times New Roman" w:hAnsi="Times New Roman" w:cs="Times New Roman"/>
        </w:rPr>
        <w:t>: https://unfccc.int/files/meetings/paris_nov_2015/application/pdf/paris_agreement_russian_.pdf (дата обращения 17.12.2021)</w:t>
      </w:r>
    </w:p>
  </w:footnote>
  <w:footnote w:id="2">
    <w:p w:rsidR="00BC440E" w:rsidRPr="00BC440E" w:rsidRDefault="00BC440E">
      <w:pPr>
        <w:pStyle w:val="a9"/>
      </w:pPr>
      <w:r>
        <w:rPr>
          <w:rStyle w:val="ab"/>
        </w:rPr>
        <w:footnoteRef/>
      </w:r>
      <w:r>
        <w:t xml:space="preserve"> Указ Президента Российской Федерации от 13 мая 2019 г. № 216 «</w:t>
      </w:r>
      <w:r w:rsidRPr="00BC440E">
        <w:rPr>
          <w:rFonts w:ascii="Arial" w:hAnsi="Arial" w:cs="Arial"/>
          <w:color w:val="202122"/>
          <w:sz w:val="19"/>
          <w:szCs w:val="19"/>
          <w:shd w:val="clear" w:color="auto" w:fill="FFFFFF"/>
        </w:rPr>
        <w:t>Доктрина энергетической безопасности Российской Федерации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». Доступ 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  <w:r w:rsidRPr="00BC440E">
        <w:rPr>
          <w:rFonts w:ascii="Arial" w:hAnsi="Arial" w:cs="Arial"/>
          <w:color w:val="202122"/>
          <w:sz w:val="19"/>
          <w:szCs w:val="19"/>
          <w:shd w:val="clear" w:color="auto" w:fill="FFFFFF"/>
        </w:rPr>
        <w:t>file:///C:/Users/Админ/Downloads/document-96941.pdf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(дата обращения 17.12.2021)</w:t>
      </w:r>
    </w:p>
  </w:footnote>
  <w:footnote w:id="3">
    <w:p w:rsidR="009B1871" w:rsidRPr="009B1871" w:rsidRDefault="009B1871" w:rsidP="009B18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B1871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9B1871">
        <w:rPr>
          <w:rFonts w:ascii="Times New Roman" w:hAnsi="Times New Roman" w:cs="Times New Roman"/>
          <w:sz w:val="24"/>
          <w:szCs w:val="24"/>
        </w:rPr>
        <w:t xml:space="preserve"> </w:t>
      </w:r>
      <w:r w:rsidRPr="004C3D4D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</w:t>
      </w:r>
      <w:r w:rsidRPr="004C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09 июня 2020 года </w:t>
      </w:r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 1523-р</w:t>
      </w:r>
      <w:r w:rsidRPr="004C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D4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 утверждении Энергетической стратегии Российской Федерации на период до 2035</w:t>
      </w:r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». Доступ </w:t>
      </w:r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URL</w:t>
      </w:r>
      <w:proofErr w:type="gramStart"/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4C3D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https://docs.cntd.ru/document/565068231?marker=6580IP (дата обращения 17.12.2021).</w:t>
      </w:r>
    </w:p>
  </w:footnote>
  <w:footnote w:id="4">
    <w:p w:rsidR="00B2305C" w:rsidRPr="00B2305C" w:rsidRDefault="00B2305C" w:rsidP="00B2305C">
      <w:pPr>
        <w:pStyle w:val="1"/>
        <w:shd w:val="clear" w:color="auto" w:fill="FFFFFF"/>
        <w:spacing w:before="0" w:line="240" w:lineRule="auto"/>
        <w:jc w:val="both"/>
        <w:rPr>
          <w:rFonts w:ascii="Arial" w:hAnsi="Arial" w:cs="Arial"/>
          <w:color w:val="000000"/>
          <w:sz w:val="54"/>
          <w:szCs w:val="54"/>
        </w:rPr>
      </w:pPr>
      <w:r>
        <w:rPr>
          <w:rStyle w:val="ab"/>
        </w:rPr>
        <w:footnoteRef/>
      </w:r>
      <w:r>
        <w:t xml:space="preserve"> </w:t>
      </w:r>
      <w:r w:rsidRPr="00B2305C">
        <w:rPr>
          <w:rFonts w:ascii="Times New Roman" w:hAnsi="Times New Roman" w:cs="Times New Roman"/>
          <w:b w:val="0"/>
          <w:color w:val="000000"/>
          <w:sz w:val="24"/>
          <w:szCs w:val="24"/>
        </w:rPr>
        <w:t>ЧП и аварии на шахтах в России в 2020-2021 годах</w:t>
      </w:r>
      <w:r w:rsidRPr="00B230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РИА. Доступ </w:t>
      </w:r>
      <w:r w:rsidRPr="00B2305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URL</w:t>
      </w:r>
      <w:proofErr w:type="gramStart"/>
      <w:r w:rsidRPr="00B230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B230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https://ria.ru/20211125/shakhty-1760652143.html (дата обращения 17.12.2021).</w:t>
      </w:r>
      <w:bookmarkStart w:id="0" w:name="_GoBack"/>
      <w:bookmarkEnd w:id="0"/>
    </w:p>
    <w:p w:rsidR="00B2305C" w:rsidRDefault="00B2305C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C4B"/>
    <w:multiLevelType w:val="hybridMultilevel"/>
    <w:tmpl w:val="46905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9A4505"/>
    <w:multiLevelType w:val="hybridMultilevel"/>
    <w:tmpl w:val="9014C346"/>
    <w:lvl w:ilvl="0" w:tplc="B4B288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B5E7F"/>
    <w:multiLevelType w:val="hybridMultilevel"/>
    <w:tmpl w:val="CC36DE96"/>
    <w:lvl w:ilvl="0" w:tplc="B2587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6941C0"/>
    <w:multiLevelType w:val="hybridMultilevel"/>
    <w:tmpl w:val="42646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B03"/>
    <w:rsid w:val="000104B4"/>
    <w:rsid w:val="00063DC5"/>
    <w:rsid w:val="001157F4"/>
    <w:rsid w:val="001C6EFB"/>
    <w:rsid w:val="00204D45"/>
    <w:rsid w:val="00296D92"/>
    <w:rsid w:val="0029774B"/>
    <w:rsid w:val="002A744E"/>
    <w:rsid w:val="002E71A2"/>
    <w:rsid w:val="00357C01"/>
    <w:rsid w:val="004455C5"/>
    <w:rsid w:val="004706F8"/>
    <w:rsid w:val="004C3D4D"/>
    <w:rsid w:val="004D0853"/>
    <w:rsid w:val="00543666"/>
    <w:rsid w:val="00545283"/>
    <w:rsid w:val="00581D42"/>
    <w:rsid w:val="005A4784"/>
    <w:rsid w:val="005B63C6"/>
    <w:rsid w:val="005C64A7"/>
    <w:rsid w:val="00643136"/>
    <w:rsid w:val="006B6B03"/>
    <w:rsid w:val="006D760D"/>
    <w:rsid w:val="006E342D"/>
    <w:rsid w:val="007E04C8"/>
    <w:rsid w:val="008C3F5A"/>
    <w:rsid w:val="00926641"/>
    <w:rsid w:val="009711AE"/>
    <w:rsid w:val="009B1871"/>
    <w:rsid w:val="00A150A6"/>
    <w:rsid w:val="00A30E42"/>
    <w:rsid w:val="00A6120B"/>
    <w:rsid w:val="00A92008"/>
    <w:rsid w:val="00B13C79"/>
    <w:rsid w:val="00B2305C"/>
    <w:rsid w:val="00B444DB"/>
    <w:rsid w:val="00BB7239"/>
    <w:rsid w:val="00BC440E"/>
    <w:rsid w:val="00BE33F3"/>
    <w:rsid w:val="00C01AE9"/>
    <w:rsid w:val="00C11551"/>
    <w:rsid w:val="00D67F21"/>
    <w:rsid w:val="00DC5EF5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1">
    <w:name w:val="heading 1"/>
    <w:basedOn w:val="a"/>
    <w:next w:val="a"/>
    <w:link w:val="10"/>
    <w:uiPriority w:val="9"/>
    <w:qFormat/>
    <w:rsid w:val="00B23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C01AE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01AE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1AE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04B4"/>
  </w:style>
  <w:style w:type="paragraph" w:styleId="ae">
    <w:name w:val="footer"/>
    <w:basedOn w:val="a"/>
    <w:link w:val="af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04B4"/>
  </w:style>
  <w:style w:type="character" w:customStyle="1" w:styleId="10">
    <w:name w:val="Заголовок 1 Знак"/>
    <w:basedOn w:val="a0"/>
    <w:link w:val="1"/>
    <w:uiPriority w:val="9"/>
    <w:rsid w:val="00B23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3519-3504-4C69-B432-D0F0D436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Админ</cp:lastModifiedBy>
  <cp:revision>9</cp:revision>
  <dcterms:created xsi:type="dcterms:W3CDTF">2017-05-30T06:58:00Z</dcterms:created>
  <dcterms:modified xsi:type="dcterms:W3CDTF">2021-12-17T21:48:00Z</dcterms:modified>
</cp:coreProperties>
</file>